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5220"/>
        <w:gridCol w:w="5220"/>
      </w:tblGrid>
      <w:tr w:rsidR="001C5749" w:rsidRPr="00C24AE6" w:rsidTr="004804F9">
        <w:tc>
          <w:tcPr>
            <w:tcW w:w="10440" w:type="dxa"/>
            <w:gridSpan w:val="2"/>
            <w:shd w:val="clear" w:color="auto" w:fill="F2F2F2" w:themeFill="background1" w:themeFillShade="F2"/>
            <w:vAlign w:val="center"/>
          </w:tcPr>
          <w:p w:rsidR="001C5749" w:rsidRPr="00C24AE6" w:rsidRDefault="001C5749" w:rsidP="001C5749">
            <w:pPr>
              <w:tabs>
                <w:tab w:val="left" w:pos="6285"/>
              </w:tabs>
              <w:jc w:val="center"/>
              <w:rPr>
                <w:rFonts w:ascii="Times New Roman" w:hAnsi="Times New Roman" w:cs="Times New Roman"/>
                <w:b/>
              </w:rPr>
            </w:pPr>
            <w:bookmarkStart w:id="0" w:name="_GoBack"/>
            <w:bookmarkEnd w:id="0"/>
          </w:p>
          <w:p w:rsidR="001C5749" w:rsidRPr="00C24AE6" w:rsidRDefault="001C5749" w:rsidP="001C5749">
            <w:pPr>
              <w:tabs>
                <w:tab w:val="left" w:pos="6285"/>
              </w:tabs>
              <w:jc w:val="center"/>
              <w:rPr>
                <w:rFonts w:ascii="Times New Roman" w:hAnsi="Times New Roman" w:cs="Times New Roman"/>
                <w:b/>
              </w:rPr>
            </w:pPr>
            <w:r w:rsidRPr="00C24AE6">
              <w:rPr>
                <w:rFonts w:ascii="Times New Roman" w:hAnsi="Times New Roman" w:cs="Times New Roman"/>
                <w:b/>
              </w:rPr>
              <w:t>What Campuses Can and Can’t Do</w:t>
            </w:r>
          </w:p>
          <w:p w:rsidR="001C5749" w:rsidRPr="00C24AE6" w:rsidRDefault="001C5749" w:rsidP="001C5749">
            <w:pPr>
              <w:tabs>
                <w:tab w:val="left" w:pos="6285"/>
              </w:tabs>
              <w:jc w:val="center"/>
              <w:rPr>
                <w:rFonts w:ascii="Times New Roman" w:hAnsi="Times New Roman" w:cs="Times New Roman"/>
                <w:b/>
              </w:rPr>
            </w:pPr>
          </w:p>
        </w:tc>
      </w:tr>
      <w:tr w:rsidR="00E934DB" w:rsidRPr="00C24AE6" w:rsidTr="004804F9">
        <w:tc>
          <w:tcPr>
            <w:tcW w:w="5220" w:type="dxa"/>
          </w:tcPr>
          <w:p w:rsidR="00E934DB" w:rsidRPr="00C24AE6" w:rsidRDefault="00A41EC4" w:rsidP="009C107C">
            <w:pPr>
              <w:tabs>
                <w:tab w:val="left" w:pos="6285"/>
              </w:tabs>
              <w:rPr>
                <w:rFonts w:ascii="Times New Roman" w:hAnsi="Times New Roman" w:cs="Times New Roman"/>
              </w:rPr>
            </w:pPr>
            <w:r w:rsidRPr="00C24AE6">
              <w:rPr>
                <w:rFonts w:ascii="Times New Roman" w:hAnsi="Times New Roman" w:cs="Times New Roman"/>
              </w:rPr>
              <w:t>A campus can’t censor or punish speech merely because a person or group considers it offensive or hateful</w:t>
            </w:r>
          </w:p>
        </w:tc>
        <w:tc>
          <w:tcPr>
            <w:tcW w:w="5220" w:type="dxa"/>
          </w:tcPr>
          <w:p w:rsidR="00E934DB" w:rsidRPr="00C24AE6" w:rsidRDefault="00A41EC4" w:rsidP="009C107C">
            <w:pPr>
              <w:tabs>
                <w:tab w:val="left" w:pos="6285"/>
              </w:tabs>
              <w:rPr>
                <w:rFonts w:ascii="Times New Roman" w:hAnsi="Times New Roman" w:cs="Times New Roman"/>
              </w:rPr>
            </w:pPr>
            <w:r w:rsidRPr="00C24AE6">
              <w:rPr>
                <w:rFonts w:ascii="Times New Roman" w:hAnsi="Times New Roman" w:cs="Times New Roman"/>
              </w:rPr>
              <w:t>A campus can censor or punish speech that meets the legal criteria for harassment, true threats, or other speech acts unprotected by the First Amendment</w:t>
            </w:r>
          </w:p>
        </w:tc>
      </w:tr>
      <w:tr w:rsidR="00E934DB" w:rsidRPr="00C24AE6" w:rsidTr="004804F9">
        <w:tc>
          <w:tcPr>
            <w:tcW w:w="5220" w:type="dxa"/>
          </w:tcPr>
          <w:p w:rsidR="00E934DB" w:rsidRPr="00C24AE6" w:rsidRDefault="00337774" w:rsidP="009C107C">
            <w:pPr>
              <w:tabs>
                <w:tab w:val="left" w:pos="6285"/>
              </w:tabs>
              <w:rPr>
                <w:rFonts w:ascii="Times New Roman" w:hAnsi="Times New Roman" w:cs="Times New Roman"/>
              </w:rPr>
            </w:pPr>
            <w:r w:rsidRPr="00C24AE6">
              <w:rPr>
                <w:rFonts w:ascii="Times New Roman" w:hAnsi="Times New Roman" w:cs="Times New Roman"/>
              </w:rPr>
              <w:t>A campus can’t prevent protestors from having a meaningful opportunity to get their views across in an effective way</w:t>
            </w:r>
          </w:p>
        </w:tc>
        <w:tc>
          <w:tcPr>
            <w:tcW w:w="5220" w:type="dxa"/>
          </w:tcPr>
          <w:p w:rsidR="00E934DB" w:rsidRPr="00C24AE6" w:rsidRDefault="00337774" w:rsidP="009C107C">
            <w:pPr>
              <w:tabs>
                <w:tab w:val="left" w:pos="6285"/>
              </w:tabs>
              <w:rPr>
                <w:rFonts w:ascii="Times New Roman" w:hAnsi="Times New Roman" w:cs="Times New Roman"/>
              </w:rPr>
            </w:pPr>
            <w:r w:rsidRPr="00C24AE6">
              <w:rPr>
                <w:rFonts w:ascii="Times New Roman" w:hAnsi="Times New Roman" w:cs="Times New Roman"/>
              </w:rPr>
              <w:t>A campus can impose time, place, and manner restriction</w:t>
            </w:r>
            <w:r w:rsidR="00507B0F">
              <w:rPr>
                <w:rFonts w:ascii="Times New Roman" w:hAnsi="Times New Roman" w:cs="Times New Roman"/>
              </w:rPr>
              <w:t>s</w:t>
            </w:r>
            <w:r w:rsidRPr="00C24AE6">
              <w:rPr>
                <w:rFonts w:ascii="Times New Roman" w:hAnsi="Times New Roman" w:cs="Times New Roman"/>
              </w:rPr>
              <w:t xml:space="preserve"> on protests for the purpose of preventing protestors from disrupting the normal work of the campus</w:t>
            </w:r>
            <w:r w:rsidR="001C5749" w:rsidRPr="00C24AE6">
              <w:rPr>
                <w:rFonts w:ascii="Times New Roman" w:hAnsi="Times New Roman" w:cs="Times New Roman"/>
              </w:rPr>
              <w:t>, including the education environment and administrative operations.</w:t>
            </w:r>
          </w:p>
        </w:tc>
      </w:tr>
      <w:tr w:rsidR="00E934DB" w:rsidRPr="00C24AE6" w:rsidTr="004804F9">
        <w:tc>
          <w:tcPr>
            <w:tcW w:w="5220" w:type="dxa"/>
          </w:tcPr>
          <w:p w:rsidR="00E934DB" w:rsidRPr="00C24AE6" w:rsidRDefault="00337774" w:rsidP="009C107C">
            <w:pPr>
              <w:tabs>
                <w:tab w:val="left" w:pos="6285"/>
              </w:tabs>
              <w:rPr>
                <w:rFonts w:ascii="Times New Roman" w:hAnsi="Times New Roman" w:cs="Times New Roman"/>
              </w:rPr>
            </w:pPr>
            <w:r w:rsidRPr="00C24AE6">
              <w:rPr>
                <w:rFonts w:ascii="Times New Roman" w:hAnsi="Times New Roman" w:cs="Times New Roman"/>
              </w:rPr>
              <w:t>A campus can’t impose content-based speech restrictions in dormitories</w:t>
            </w:r>
          </w:p>
        </w:tc>
        <w:tc>
          <w:tcPr>
            <w:tcW w:w="5220" w:type="dxa"/>
          </w:tcPr>
          <w:p w:rsidR="00E934DB" w:rsidRPr="00C24AE6" w:rsidRDefault="00337774" w:rsidP="009C107C">
            <w:pPr>
              <w:tabs>
                <w:tab w:val="left" w:pos="6285"/>
              </w:tabs>
              <w:rPr>
                <w:rFonts w:ascii="Times New Roman" w:hAnsi="Times New Roman" w:cs="Times New Roman"/>
              </w:rPr>
            </w:pPr>
            <w:r w:rsidRPr="00C24AE6">
              <w:rPr>
                <w:rFonts w:ascii="Times New Roman" w:hAnsi="Times New Roman" w:cs="Times New Roman"/>
              </w:rPr>
              <w:t>A campus can impost content-neutral restriction in dormitories designed to ensure a supportive living environment for students</w:t>
            </w:r>
          </w:p>
        </w:tc>
      </w:tr>
      <w:tr w:rsidR="00E934DB" w:rsidRPr="00C24AE6" w:rsidTr="004804F9">
        <w:tc>
          <w:tcPr>
            <w:tcW w:w="5220" w:type="dxa"/>
          </w:tcPr>
          <w:p w:rsidR="00E934DB" w:rsidRPr="00C24AE6" w:rsidRDefault="00337774" w:rsidP="009C107C">
            <w:pPr>
              <w:tabs>
                <w:tab w:val="left" w:pos="6285"/>
              </w:tabs>
              <w:rPr>
                <w:rFonts w:ascii="Times New Roman" w:hAnsi="Times New Roman" w:cs="Times New Roman"/>
              </w:rPr>
            </w:pPr>
            <w:r w:rsidRPr="00C24AE6">
              <w:rPr>
                <w:rFonts w:ascii="Times New Roman" w:hAnsi="Times New Roman" w:cs="Times New Roman"/>
              </w:rPr>
              <w:t>A campus can’t censor or punish some speakers, but not others, for putting up handbill</w:t>
            </w:r>
            <w:r w:rsidR="00507B0F">
              <w:rPr>
                <w:rFonts w:ascii="Times New Roman" w:hAnsi="Times New Roman" w:cs="Times New Roman"/>
              </w:rPr>
              <w:t>s</w:t>
            </w:r>
            <w:r w:rsidRPr="00C24AE6">
              <w:rPr>
                <w:rFonts w:ascii="Times New Roman" w:hAnsi="Times New Roman" w:cs="Times New Roman"/>
              </w:rPr>
              <w:t>, writing messages in chalk, or engaging in similar acts of expression</w:t>
            </w:r>
          </w:p>
        </w:tc>
        <w:tc>
          <w:tcPr>
            <w:tcW w:w="5220" w:type="dxa"/>
          </w:tcPr>
          <w:p w:rsidR="00E934DB" w:rsidRPr="00C24AE6" w:rsidRDefault="00337774" w:rsidP="009C107C">
            <w:pPr>
              <w:tabs>
                <w:tab w:val="left" w:pos="6285"/>
              </w:tabs>
              <w:rPr>
                <w:rFonts w:ascii="Times New Roman" w:hAnsi="Times New Roman" w:cs="Times New Roman"/>
              </w:rPr>
            </w:pPr>
            <w:r w:rsidRPr="00C24AE6">
              <w:rPr>
                <w:rFonts w:ascii="Times New Roman" w:hAnsi="Times New Roman" w:cs="Times New Roman"/>
              </w:rPr>
              <w:t>A campus can create general conten</w:t>
            </w:r>
            <w:r w:rsidR="00507B0F">
              <w:rPr>
                <w:rFonts w:ascii="Times New Roman" w:hAnsi="Times New Roman" w:cs="Times New Roman"/>
              </w:rPr>
              <w:t>t-</w:t>
            </w:r>
            <w:r w:rsidRPr="00C24AE6">
              <w:rPr>
                <w:rFonts w:ascii="Times New Roman" w:hAnsi="Times New Roman" w:cs="Times New Roman"/>
              </w:rPr>
              <w:t>neutral regulations governing on campus expression</w:t>
            </w:r>
          </w:p>
        </w:tc>
      </w:tr>
      <w:tr w:rsidR="00E934DB" w:rsidRPr="00C24AE6" w:rsidTr="004804F9">
        <w:tc>
          <w:tcPr>
            <w:tcW w:w="5220" w:type="dxa"/>
          </w:tcPr>
          <w:p w:rsidR="00E934DB" w:rsidRPr="00C24AE6" w:rsidRDefault="00337774" w:rsidP="009C107C">
            <w:pPr>
              <w:tabs>
                <w:tab w:val="left" w:pos="6285"/>
              </w:tabs>
              <w:rPr>
                <w:rFonts w:ascii="Times New Roman" w:hAnsi="Times New Roman" w:cs="Times New Roman"/>
              </w:rPr>
            </w:pPr>
            <w:r w:rsidRPr="00C24AE6">
              <w:rPr>
                <w:rFonts w:ascii="Times New Roman" w:hAnsi="Times New Roman" w:cs="Times New Roman"/>
              </w:rPr>
              <w:t xml:space="preserve">A campus can’t engage in </w:t>
            </w:r>
            <w:r w:rsidR="001C5749" w:rsidRPr="00C24AE6">
              <w:rPr>
                <w:rFonts w:ascii="Times New Roman" w:hAnsi="Times New Roman" w:cs="Times New Roman"/>
              </w:rPr>
              <w:t>content-based</w:t>
            </w:r>
            <w:r w:rsidRPr="00C24AE6">
              <w:rPr>
                <w:rFonts w:ascii="Times New Roman" w:hAnsi="Times New Roman" w:cs="Times New Roman"/>
              </w:rPr>
              <w:t xml:space="preserve"> discrimination against faculty, students, or other speakers or writers who seek to express themselves outside the professional educational context.</w:t>
            </w:r>
          </w:p>
        </w:tc>
        <w:tc>
          <w:tcPr>
            <w:tcW w:w="5220" w:type="dxa"/>
          </w:tcPr>
          <w:p w:rsidR="00E934DB" w:rsidRPr="00C24AE6" w:rsidRDefault="001C5749" w:rsidP="009C107C">
            <w:pPr>
              <w:tabs>
                <w:tab w:val="left" w:pos="6285"/>
              </w:tabs>
              <w:rPr>
                <w:rFonts w:ascii="Times New Roman" w:hAnsi="Times New Roman" w:cs="Times New Roman"/>
              </w:rPr>
            </w:pPr>
            <w:r w:rsidRPr="00C24AE6">
              <w:rPr>
                <w:rFonts w:ascii="Times New Roman" w:hAnsi="Times New Roman" w:cs="Times New Roman"/>
              </w:rPr>
              <w:t xml:space="preserve">A campus can engage in </w:t>
            </w:r>
            <w:r w:rsidR="004804F9" w:rsidRPr="00C24AE6">
              <w:rPr>
                <w:rFonts w:ascii="Times New Roman" w:hAnsi="Times New Roman" w:cs="Times New Roman"/>
              </w:rPr>
              <w:t>content-based</w:t>
            </w:r>
            <w:r w:rsidRPr="00C24AE6">
              <w:rPr>
                <w:rFonts w:ascii="Times New Roman" w:hAnsi="Times New Roman" w:cs="Times New Roman"/>
              </w:rPr>
              <w:t xml:space="preserve"> evaluation of faculty and students who are operating within the professional educational context, as long as this evaluation is based on professional standard or peer assessments of the quality of scholarship or teaching.</w:t>
            </w:r>
          </w:p>
        </w:tc>
      </w:tr>
      <w:tr w:rsidR="001C5749" w:rsidRPr="00C24AE6" w:rsidTr="004804F9">
        <w:tc>
          <w:tcPr>
            <w:tcW w:w="5220" w:type="dxa"/>
          </w:tcPr>
          <w:p w:rsidR="001C5749" w:rsidRPr="00C24AE6" w:rsidRDefault="001C5749" w:rsidP="009C107C">
            <w:pPr>
              <w:tabs>
                <w:tab w:val="left" w:pos="6285"/>
              </w:tabs>
              <w:rPr>
                <w:rFonts w:ascii="Times New Roman" w:hAnsi="Times New Roman" w:cs="Times New Roman"/>
              </w:rPr>
            </w:pPr>
            <w:r w:rsidRPr="00C24AE6">
              <w:rPr>
                <w:rFonts w:ascii="Times New Roman" w:hAnsi="Times New Roman" w:cs="Times New Roman"/>
              </w:rPr>
              <w:t>Faculty members may choose to provide students warnings before presenting material that might be offensive or upsetting to them</w:t>
            </w:r>
          </w:p>
        </w:tc>
        <w:tc>
          <w:tcPr>
            <w:tcW w:w="5220" w:type="dxa"/>
          </w:tcPr>
          <w:p w:rsidR="001C5749" w:rsidRPr="00C24AE6" w:rsidRDefault="001C5749" w:rsidP="009C107C">
            <w:pPr>
              <w:tabs>
                <w:tab w:val="left" w:pos="6285"/>
              </w:tabs>
              <w:rPr>
                <w:rFonts w:ascii="Times New Roman" w:hAnsi="Times New Roman" w:cs="Times New Roman"/>
              </w:rPr>
            </w:pPr>
            <w:r w:rsidRPr="00C24AE6">
              <w:rPr>
                <w:rFonts w:ascii="Times New Roman" w:hAnsi="Times New Roman" w:cs="Times New Roman"/>
              </w:rPr>
              <w:t>Colleges and universities should not impose requirements that faculty provide “trigger warnings” before presenting or assigning material that might be offensive or upsetting to students</w:t>
            </w:r>
          </w:p>
        </w:tc>
      </w:tr>
      <w:tr w:rsidR="001C5749" w:rsidRPr="00C24AE6" w:rsidTr="004804F9">
        <w:tc>
          <w:tcPr>
            <w:tcW w:w="5220" w:type="dxa"/>
          </w:tcPr>
          <w:p w:rsidR="001C5749" w:rsidRPr="00C24AE6" w:rsidRDefault="001C5749" w:rsidP="009C107C">
            <w:pPr>
              <w:tabs>
                <w:tab w:val="left" w:pos="6285"/>
              </w:tabs>
              <w:rPr>
                <w:rFonts w:ascii="Times New Roman" w:hAnsi="Times New Roman" w:cs="Times New Roman"/>
              </w:rPr>
            </w:pPr>
            <w:r w:rsidRPr="00C24AE6">
              <w:rPr>
                <w:rFonts w:ascii="Times New Roman" w:hAnsi="Times New Roman" w:cs="Times New Roman"/>
              </w:rPr>
              <w:t>Campuses can create “safe spaces” in educational settings that ensure that individuals feel free to express the wildest array of viewpoints, and can support student efforts to self-organize in ways that reflect shared interest and experiences</w:t>
            </w:r>
          </w:p>
        </w:tc>
        <w:tc>
          <w:tcPr>
            <w:tcW w:w="5220" w:type="dxa"/>
          </w:tcPr>
          <w:p w:rsidR="001C5749" w:rsidRPr="00C24AE6" w:rsidRDefault="001C5749" w:rsidP="009C107C">
            <w:pPr>
              <w:tabs>
                <w:tab w:val="left" w:pos="6285"/>
              </w:tabs>
              <w:rPr>
                <w:rFonts w:ascii="Times New Roman" w:hAnsi="Times New Roman" w:cs="Times New Roman"/>
              </w:rPr>
            </w:pPr>
            <w:r w:rsidRPr="00C24AE6">
              <w:rPr>
                <w:rFonts w:ascii="Times New Roman" w:hAnsi="Times New Roman" w:cs="Times New Roman"/>
              </w:rPr>
              <w:t>Campuses can’t use the concept of safe spaces to censor the expression of ideas considered too offensive for students to hear</w:t>
            </w:r>
          </w:p>
        </w:tc>
      </w:tr>
      <w:tr w:rsidR="001C5749" w:rsidRPr="00C24AE6" w:rsidTr="004804F9">
        <w:tc>
          <w:tcPr>
            <w:tcW w:w="5220" w:type="dxa"/>
          </w:tcPr>
          <w:p w:rsidR="001C5749" w:rsidRPr="00C24AE6" w:rsidRDefault="001C5749" w:rsidP="009C107C">
            <w:pPr>
              <w:tabs>
                <w:tab w:val="left" w:pos="6285"/>
              </w:tabs>
              <w:rPr>
                <w:rFonts w:ascii="Times New Roman" w:hAnsi="Times New Roman" w:cs="Times New Roman"/>
              </w:rPr>
            </w:pPr>
            <w:r w:rsidRPr="00C24AE6">
              <w:rPr>
                <w:rFonts w:ascii="Times New Roman" w:hAnsi="Times New Roman" w:cs="Times New Roman"/>
              </w:rPr>
              <w:t>A campus can’t prohibit students or faculty from using words that some consider to be examples of “microaggressions”</w:t>
            </w:r>
          </w:p>
        </w:tc>
        <w:tc>
          <w:tcPr>
            <w:tcW w:w="5220" w:type="dxa"/>
          </w:tcPr>
          <w:p w:rsidR="001C5749" w:rsidRPr="00C24AE6" w:rsidRDefault="001C5749" w:rsidP="009C107C">
            <w:pPr>
              <w:tabs>
                <w:tab w:val="left" w:pos="6285"/>
              </w:tabs>
              <w:rPr>
                <w:rFonts w:ascii="Times New Roman" w:hAnsi="Times New Roman" w:cs="Times New Roman"/>
              </w:rPr>
            </w:pPr>
            <w:r w:rsidRPr="00C24AE6">
              <w:rPr>
                <w:rFonts w:ascii="Times New Roman" w:hAnsi="Times New Roman" w:cs="Times New Roman"/>
              </w:rPr>
              <w:t>A campus can sensitize students and faculty to the impact that certain word may have, as part of an effort to create a respectful work and learning environment</w:t>
            </w:r>
          </w:p>
        </w:tc>
      </w:tr>
      <w:tr w:rsidR="001C5749" w:rsidRPr="00C24AE6" w:rsidTr="004804F9">
        <w:tc>
          <w:tcPr>
            <w:tcW w:w="5220" w:type="dxa"/>
          </w:tcPr>
          <w:p w:rsidR="001C5749" w:rsidRPr="00C24AE6" w:rsidRDefault="004804F9" w:rsidP="009C107C">
            <w:pPr>
              <w:tabs>
                <w:tab w:val="left" w:pos="6285"/>
              </w:tabs>
              <w:rPr>
                <w:rFonts w:ascii="Times New Roman" w:hAnsi="Times New Roman" w:cs="Times New Roman"/>
              </w:rPr>
            </w:pPr>
            <w:r w:rsidRPr="00C24AE6">
              <w:rPr>
                <w:rFonts w:ascii="Times New Roman" w:hAnsi="Times New Roman" w:cs="Times New Roman"/>
              </w:rPr>
              <w:t>A campus can ensure that all student organizations, as a condition for recognition and receipt of funding, be open to all students, and can impose sanctions on student organizations for conduct if it is not protected by the principles of freedom of speech.</w:t>
            </w:r>
          </w:p>
        </w:tc>
        <w:tc>
          <w:tcPr>
            <w:tcW w:w="5220" w:type="dxa"/>
          </w:tcPr>
          <w:p w:rsidR="001C5749" w:rsidRPr="00C24AE6" w:rsidRDefault="004804F9" w:rsidP="009C107C">
            <w:pPr>
              <w:tabs>
                <w:tab w:val="left" w:pos="6285"/>
              </w:tabs>
              <w:rPr>
                <w:rFonts w:ascii="Times New Roman" w:hAnsi="Times New Roman" w:cs="Times New Roman"/>
              </w:rPr>
            </w:pPr>
            <w:r w:rsidRPr="00C24AE6">
              <w:rPr>
                <w:rFonts w:ascii="Times New Roman" w:hAnsi="Times New Roman" w:cs="Times New Roman"/>
              </w:rPr>
              <w:t>A campus cannot deny recognition to a student organization or impose sanctions against it for views or ideas expressed by the organizations, its members, or its speakers</w:t>
            </w:r>
          </w:p>
        </w:tc>
      </w:tr>
      <w:tr w:rsidR="001C5749" w:rsidRPr="00C24AE6" w:rsidTr="004804F9">
        <w:tc>
          <w:tcPr>
            <w:tcW w:w="5220" w:type="dxa"/>
          </w:tcPr>
          <w:p w:rsidR="001C5749" w:rsidRPr="00C24AE6" w:rsidRDefault="004804F9" w:rsidP="009C107C">
            <w:pPr>
              <w:tabs>
                <w:tab w:val="left" w:pos="6285"/>
              </w:tabs>
              <w:rPr>
                <w:rFonts w:ascii="Times New Roman" w:hAnsi="Times New Roman" w:cs="Times New Roman"/>
              </w:rPr>
            </w:pPr>
            <w:r w:rsidRPr="00C24AE6">
              <w:rPr>
                <w:rFonts w:ascii="Times New Roman" w:hAnsi="Times New Roman" w:cs="Times New Roman"/>
              </w:rPr>
              <w:t>Colleges and universities</w:t>
            </w:r>
            <w:r w:rsidR="006442E9" w:rsidRPr="00C24AE6">
              <w:rPr>
                <w:rFonts w:ascii="Times New Roman" w:hAnsi="Times New Roman" w:cs="Times New Roman"/>
              </w:rPr>
              <w:t xml:space="preserve"> can punish speech on t</w:t>
            </w:r>
            <w:r w:rsidRPr="00C24AE6">
              <w:rPr>
                <w:rFonts w:ascii="Times New Roman" w:hAnsi="Times New Roman" w:cs="Times New Roman"/>
              </w:rPr>
              <w:t xml:space="preserve">he </w:t>
            </w:r>
            <w:r w:rsidR="006442E9" w:rsidRPr="00C24AE6">
              <w:rPr>
                <w:rFonts w:ascii="Times New Roman" w:hAnsi="Times New Roman" w:cs="Times New Roman"/>
              </w:rPr>
              <w:t>internet</w:t>
            </w:r>
            <w:r w:rsidRPr="00C24AE6">
              <w:rPr>
                <w:rFonts w:ascii="Times New Roman" w:hAnsi="Times New Roman" w:cs="Times New Roman"/>
              </w:rPr>
              <w:t xml:space="preserve"> and social media that is otherwise not protected, such as true threats and harassment or speech inconsistent with professional standards</w:t>
            </w:r>
          </w:p>
        </w:tc>
        <w:tc>
          <w:tcPr>
            <w:tcW w:w="5220" w:type="dxa"/>
          </w:tcPr>
          <w:p w:rsidR="001C5749" w:rsidRPr="00C24AE6" w:rsidRDefault="004804F9" w:rsidP="009C107C">
            <w:pPr>
              <w:tabs>
                <w:tab w:val="left" w:pos="6285"/>
              </w:tabs>
              <w:rPr>
                <w:rFonts w:ascii="Times New Roman" w:hAnsi="Times New Roman" w:cs="Times New Roman"/>
              </w:rPr>
            </w:pPr>
            <w:r w:rsidRPr="00C24AE6">
              <w:rPr>
                <w:rFonts w:ascii="Times New Roman" w:hAnsi="Times New Roman" w:cs="Times New Roman"/>
              </w:rPr>
              <w:t>Colleges and universities can’t punish speech over the in</w:t>
            </w:r>
            <w:r w:rsidR="006442E9" w:rsidRPr="00C24AE6">
              <w:rPr>
                <w:rFonts w:ascii="Times New Roman" w:hAnsi="Times New Roman" w:cs="Times New Roman"/>
              </w:rPr>
              <w:t xml:space="preserve">ternet on the ground that is </w:t>
            </w:r>
            <w:r w:rsidRPr="00C24AE6">
              <w:rPr>
                <w:rFonts w:ascii="Times New Roman" w:hAnsi="Times New Roman" w:cs="Times New Roman"/>
              </w:rPr>
              <w:t>offensive</w:t>
            </w:r>
          </w:p>
        </w:tc>
      </w:tr>
      <w:tr w:rsidR="001C5749" w:rsidRPr="00C24AE6" w:rsidTr="004804F9">
        <w:tc>
          <w:tcPr>
            <w:tcW w:w="5220" w:type="dxa"/>
          </w:tcPr>
          <w:p w:rsidR="001C5749" w:rsidRPr="00C24AE6" w:rsidRDefault="004804F9" w:rsidP="009C107C">
            <w:pPr>
              <w:tabs>
                <w:tab w:val="left" w:pos="6285"/>
              </w:tabs>
              <w:rPr>
                <w:rFonts w:ascii="Times New Roman" w:hAnsi="Times New Roman" w:cs="Times New Roman"/>
              </w:rPr>
            </w:pPr>
            <w:r w:rsidRPr="00C24AE6">
              <w:rPr>
                <w:rFonts w:ascii="Times New Roman" w:hAnsi="Times New Roman" w:cs="Times New Roman"/>
              </w:rPr>
              <w:t>A campus should expect university administrators to speak out against especially egregious acts and, most important, encourage the community to make its own decisions about that speech acts deserve praise or condemnation</w:t>
            </w:r>
          </w:p>
        </w:tc>
        <w:tc>
          <w:tcPr>
            <w:tcW w:w="5220" w:type="dxa"/>
          </w:tcPr>
          <w:p w:rsidR="001C5749" w:rsidRPr="00C24AE6" w:rsidRDefault="004804F9" w:rsidP="009C107C">
            <w:pPr>
              <w:tabs>
                <w:tab w:val="left" w:pos="6285"/>
              </w:tabs>
              <w:rPr>
                <w:rFonts w:ascii="Times New Roman" w:hAnsi="Times New Roman" w:cs="Times New Roman"/>
              </w:rPr>
            </w:pPr>
            <w:r w:rsidRPr="00C24AE6">
              <w:rPr>
                <w:rFonts w:ascii="Times New Roman" w:hAnsi="Times New Roman" w:cs="Times New Roman"/>
              </w:rPr>
              <w:t>A campus should not expect university administrators to comment on or condemn every campus speech act that some person considers offensive</w:t>
            </w:r>
          </w:p>
        </w:tc>
      </w:tr>
    </w:tbl>
    <w:p w:rsidR="003B6B86" w:rsidRDefault="003B6B86" w:rsidP="009C107C">
      <w:pPr>
        <w:tabs>
          <w:tab w:val="left" w:pos="6285"/>
        </w:tabs>
        <w:rPr>
          <w:rFonts w:ascii="Times New Roman" w:hAnsi="Times New Roman" w:cs="Times New Roman"/>
          <w:b/>
          <w:sz w:val="20"/>
        </w:rPr>
      </w:pPr>
    </w:p>
    <w:p w:rsidR="009C107C" w:rsidRPr="00C24AE6" w:rsidRDefault="003B6B86" w:rsidP="009C107C">
      <w:pPr>
        <w:tabs>
          <w:tab w:val="left" w:pos="6285"/>
        </w:tabs>
        <w:rPr>
          <w:rFonts w:ascii="Times New Roman" w:hAnsi="Times New Roman" w:cs="Times New Roman"/>
          <w:b/>
          <w:sz w:val="20"/>
        </w:rPr>
      </w:pPr>
      <w:r w:rsidRPr="00996CE0">
        <w:rPr>
          <w:rFonts w:ascii="Times New Roman" w:hAnsi="Times New Roman" w:cs="Times New Roman"/>
          <w:b/>
          <w:color w:val="000000" w:themeColor="text1"/>
          <w:sz w:val="20"/>
        </w:rPr>
        <w:t>©</w:t>
      </w:r>
      <w:r w:rsidR="003B1226" w:rsidRPr="00996CE0">
        <w:rPr>
          <w:rFonts w:ascii="Times New Roman" w:hAnsi="Times New Roman" w:cs="Times New Roman"/>
          <w:b/>
          <w:color w:val="000000" w:themeColor="text1"/>
          <w:sz w:val="20"/>
        </w:rPr>
        <w:t xml:space="preserve">2017 </w:t>
      </w:r>
      <w:r w:rsidRPr="00996CE0">
        <w:rPr>
          <w:rFonts w:ascii="Times New Roman" w:hAnsi="Times New Roman" w:cs="Times New Roman"/>
          <w:b/>
          <w:color w:val="000000" w:themeColor="text1"/>
          <w:sz w:val="20"/>
        </w:rPr>
        <w:t xml:space="preserve">Used by Permission. </w:t>
      </w:r>
      <w:r w:rsidR="00A41EC4" w:rsidRPr="00C24AE6">
        <w:rPr>
          <w:rFonts w:ascii="Times New Roman" w:hAnsi="Times New Roman" w:cs="Times New Roman"/>
          <w:b/>
          <w:sz w:val="20"/>
        </w:rPr>
        <w:t xml:space="preserve">Material from Chemerinsky, Erwin and Howard Gillman. </w:t>
      </w:r>
      <w:hyperlink r:id="rId6" w:history="1">
        <w:r w:rsidR="00A41EC4" w:rsidRPr="00C24AE6">
          <w:rPr>
            <w:rStyle w:val="Hyperlink"/>
            <w:rFonts w:ascii="Times New Roman" w:hAnsi="Times New Roman" w:cs="Times New Roman"/>
            <w:b/>
            <w:sz w:val="20"/>
          </w:rPr>
          <w:t>Free Speech on Campus</w:t>
        </w:r>
      </w:hyperlink>
      <w:r w:rsidR="00A41EC4" w:rsidRPr="00C24AE6">
        <w:rPr>
          <w:rFonts w:ascii="Times New Roman" w:hAnsi="Times New Roman" w:cs="Times New Roman"/>
          <w:b/>
          <w:sz w:val="20"/>
        </w:rPr>
        <w:t>. Yale U</w:t>
      </w:r>
      <w:r w:rsidR="004804F9" w:rsidRPr="00C24AE6">
        <w:rPr>
          <w:rFonts w:ascii="Times New Roman" w:hAnsi="Times New Roman" w:cs="Times New Roman"/>
          <w:b/>
          <w:sz w:val="20"/>
        </w:rPr>
        <w:t>niversity Press</w:t>
      </w:r>
      <w:r w:rsidR="00A41EC4" w:rsidRPr="00C24AE6">
        <w:rPr>
          <w:rFonts w:ascii="Times New Roman" w:hAnsi="Times New Roman" w:cs="Times New Roman"/>
          <w:b/>
          <w:sz w:val="20"/>
        </w:rPr>
        <w:t>. 2017</w:t>
      </w:r>
      <w:r w:rsidR="00C24AE6" w:rsidRPr="00C24AE6">
        <w:rPr>
          <w:rFonts w:ascii="Times New Roman" w:hAnsi="Times New Roman" w:cs="Times New Roman"/>
          <w:b/>
          <w:sz w:val="20"/>
        </w:rPr>
        <w:t xml:space="preserve">.  </w:t>
      </w:r>
      <w:r w:rsidR="004804F9" w:rsidRPr="00C24AE6">
        <w:rPr>
          <w:rFonts w:ascii="Times New Roman" w:hAnsi="Times New Roman" w:cs="Times New Roman"/>
          <w:b/>
          <w:sz w:val="20"/>
        </w:rPr>
        <w:t>(</w:t>
      </w:r>
      <w:r w:rsidR="00C24AE6" w:rsidRPr="00C24AE6">
        <w:rPr>
          <w:rFonts w:ascii="Times New Roman" w:hAnsi="Times New Roman" w:cs="Times New Roman"/>
          <w:b/>
          <w:sz w:val="20"/>
        </w:rPr>
        <w:t>Presenter’s Note: this book is available at many retailers, and is a practical and concise resource for professionals in legal, compliance, and student affairs)</w:t>
      </w:r>
    </w:p>
    <w:sectPr w:rsidR="009C107C" w:rsidRPr="00C24AE6" w:rsidSect="00C24AE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83970"/>
    <w:multiLevelType w:val="hybridMultilevel"/>
    <w:tmpl w:val="9B00C1A2"/>
    <w:lvl w:ilvl="0" w:tplc="819264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0A"/>
    <w:rsid w:val="00135CFF"/>
    <w:rsid w:val="001C5749"/>
    <w:rsid w:val="00337774"/>
    <w:rsid w:val="003B1226"/>
    <w:rsid w:val="003B6B86"/>
    <w:rsid w:val="003D30BA"/>
    <w:rsid w:val="004643B9"/>
    <w:rsid w:val="004804F9"/>
    <w:rsid w:val="00507B0F"/>
    <w:rsid w:val="0058110A"/>
    <w:rsid w:val="005F0F62"/>
    <w:rsid w:val="006442E9"/>
    <w:rsid w:val="0065184F"/>
    <w:rsid w:val="00996CE0"/>
    <w:rsid w:val="009C107C"/>
    <w:rsid w:val="00A41EC4"/>
    <w:rsid w:val="00B353DA"/>
    <w:rsid w:val="00B6289C"/>
    <w:rsid w:val="00C24AE6"/>
    <w:rsid w:val="00C74038"/>
    <w:rsid w:val="00C82C50"/>
    <w:rsid w:val="00CC6050"/>
    <w:rsid w:val="00E07ADE"/>
    <w:rsid w:val="00E9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10A"/>
    <w:pPr>
      <w:ind w:left="720"/>
      <w:contextualSpacing/>
    </w:pPr>
  </w:style>
  <w:style w:type="character" w:styleId="Hyperlink">
    <w:name w:val="Hyperlink"/>
    <w:basedOn w:val="DefaultParagraphFont"/>
    <w:uiPriority w:val="99"/>
    <w:unhideWhenUsed/>
    <w:rsid w:val="004643B9"/>
    <w:rPr>
      <w:color w:val="0000FF" w:themeColor="hyperlink"/>
      <w:u w:val="single"/>
    </w:rPr>
  </w:style>
  <w:style w:type="character" w:styleId="FollowedHyperlink">
    <w:name w:val="FollowedHyperlink"/>
    <w:basedOn w:val="DefaultParagraphFont"/>
    <w:uiPriority w:val="99"/>
    <w:semiHidden/>
    <w:unhideWhenUsed/>
    <w:rsid w:val="00C74038"/>
    <w:rPr>
      <w:color w:val="800080" w:themeColor="followedHyperlink"/>
      <w:u w:val="single"/>
    </w:rPr>
  </w:style>
  <w:style w:type="character" w:customStyle="1" w:styleId="UnresolvedMention1">
    <w:name w:val="Unresolved Mention1"/>
    <w:basedOn w:val="DefaultParagraphFont"/>
    <w:uiPriority w:val="99"/>
    <w:semiHidden/>
    <w:unhideWhenUsed/>
    <w:rsid w:val="00E07ADE"/>
    <w:rPr>
      <w:color w:val="808080"/>
      <w:shd w:val="clear" w:color="auto" w:fill="E6E6E6"/>
    </w:rPr>
  </w:style>
  <w:style w:type="table" w:styleId="TableGrid">
    <w:name w:val="Table Grid"/>
    <w:basedOn w:val="TableNormal"/>
    <w:uiPriority w:val="59"/>
    <w:unhideWhenUsed/>
    <w:rsid w:val="00E9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10A"/>
    <w:pPr>
      <w:ind w:left="720"/>
      <w:contextualSpacing/>
    </w:pPr>
  </w:style>
  <w:style w:type="character" w:styleId="Hyperlink">
    <w:name w:val="Hyperlink"/>
    <w:basedOn w:val="DefaultParagraphFont"/>
    <w:uiPriority w:val="99"/>
    <w:unhideWhenUsed/>
    <w:rsid w:val="004643B9"/>
    <w:rPr>
      <w:color w:val="0000FF" w:themeColor="hyperlink"/>
      <w:u w:val="single"/>
    </w:rPr>
  </w:style>
  <w:style w:type="character" w:styleId="FollowedHyperlink">
    <w:name w:val="FollowedHyperlink"/>
    <w:basedOn w:val="DefaultParagraphFont"/>
    <w:uiPriority w:val="99"/>
    <w:semiHidden/>
    <w:unhideWhenUsed/>
    <w:rsid w:val="00C74038"/>
    <w:rPr>
      <w:color w:val="800080" w:themeColor="followedHyperlink"/>
      <w:u w:val="single"/>
    </w:rPr>
  </w:style>
  <w:style w:type="character" w:customStyle="1" w:styleId="UnresolvedMention1">
    <w:name w:val="Unresolved Mention1"/>
    <w:basedOn w:val="DefaultParagraphFont"/>
    <w:uiPriority w:val="99"/>
    <w:semiHidden/>
    <w:unhideWhenUsed/>
    <w:rsid w:val="00E07ADE"/>
    <w:rPr>
      <w:color w:val="808080"/>
      <w:shd w:val="clear" w:color="auto" w:fill="E6E6E6"/>
    </w:rPr>
  </w:style>
  <w:style w:type="table" w:styleId="TableGrid">
    <w:name w:val="Table Grid"/>
    <w:basedOn w:val="TableNormal"/>
    <w:uiPriority w:val="59"/>
    <w:unhideWhenUsed/>
    <w:rsid w:val="00E9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Free-Speech-Campus-Erwin-Chemerinsky/dp/030022656X/ref=sr_1_1?ie=UTF8&amp;qid=1524019309&amp;sr=8-1&amp;keywords=free+speech+on+camp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J Liddle</dc:creator>
  <cp:lastModifiedBy>Burk, Katie</cp:lastModifiedBy>
  <cp:revision>2</cp:revision>
  <dcterms:created xsi:type="dcterms:W3CDTF">2018-05-31T13:23:00Z</dcterms:created>
  <dcterms:modified xsi:type="dcterms:W3CDTF">2018-05-31T13:23:00Z</dcterms:modified>
</cp:coreProperties>
</file>